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19BCFA6A" w:rsidR="00262114" w:rsidRPr="00863A7C" w:rsidRDefault="00863A7C" w:rsidP="00A33F73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D754ED" wp14:editId="42CD5657">
            <wp:extent cx="604838" cy="571500"/>
            <wp:effectExtent l="0" t="0" r="5080" b="0"/>
            <wp:docPr id="1" name="Picture 1" descr="picture1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img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87" w:rsidRPr="00863A7C">
        <w:rPr>
          <w:rFonts w:ascii="Arial" w:eastAsia="Arial" w:hAnsi="Arial" w:cs="Arial"/>
          <w:b/>
          <w:color w:val="104F75"/>
          <w:sz w:val="28"/>
          <w:szCs w:val="28"/>
        </w:rPr>
        <w:t>Early Years Pupil P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remium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trategy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>tatement:</w:t>
      </w:r>
      <w:r w:rsidR="00827203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proofErr w:type="spellStart"/>
      <w:r w:rsidR="001C26CA" w:rsidRPr="00863A7C">
        <w:rPr>
          <w:rFonts w:ascii="Arial" w:hAnsi="Arial" w:cs="Arial"/>
          <w:b/>
          <w:color w:val="104F75"/>
          <w:sz w:val="28"/>
          <w:szCs w:val="28"/>
        </w:rPr>
        <w:t>Rainhill</w:t>
      </w:r>
      <w:proofErr w:type="spellEnd"/>
      <w:r w:rsidR="00AE7887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661DBA" w:rsidRPr="00863A7C">
        <w:rPr>
          <w:rFonts w:ascii="Arial" w:hAnsi="Arial" w:cs="Arial"/>
          <w:b/>
          <w:color w:val="104F75"/>
          <w:sz w:val="28"/>
          <w:szCs w:val="28"/>
        </w:rPr>
        <w:t xml:space="preserve">Community 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>Nursery School</w:t>
      </w:r>
      <w:r w:rsidR="005E17F2" w:rsidRPr="00863A7C">
        <w:rPr>
          <w:rFonts w:ascii="Arial" w:hAnsi="Arial" w:cs="Arial"/>
          <w:b/>
          <w:color w:val="104F75"/>
          <w:sz w:val="28"/>
          <w:szCs w:val="28"/>
        </w:rPr>
        <w:t xml:space="preserve"> 201</w:t>
      </w:r>
      <w:r w:rsidR="00DB19AA">
        <w:rPr>
          <w:rFonts w:ascii="Arial" w:hAnsi="Arial" w:cs="Arial"/>
          <w:b/>
          <w:color w:val="104F75"/>
          <w:sz w:val="28"/>
          <w:szCs w:val="28"/>
        </w:rPr>
        <w:t>9</w:t>
      </w:r>
      <w:r w:rsidR="005E17F2" w:rsidRPr="00863A7C">
        <w:rPr>
          <w:rFonts w:ascii="Arial" w:hAnsi="Arial" w:cs="Arial"/>
          <w:b/>
          <w:color w:val="104F75"/>
          <w:sz w:val="28"/>
          <w:szCs w:val="28"/>
        </w:rPr>
        <w:t>-20</w:t>
      </w:r>
      <w:r w:rsidR="00DB19AA">
        <w:rPr>
          <w:rFonts w:ascii="Arial" w:hAnsi="Arial" w:cs="Arial"/>
          <w:b/>
          <w:color w:val="104F75"/>
          <w:sz w:val="28"/>
          <w:szCs w:val="28"/>
        </w:rPr>
        <w:t>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Rainhill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4BC2B8E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1D5223BF" w:rsidR="00C14FAE" w:rsidRPr="00F970BA" w:rsidRDefault="00DB19A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£1812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26C8186F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2019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3C94945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68113B6C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7483C07" w:rsidR="00C14FAE" w:rsidRPr="00B80272" w:rsidRDefault="00AB4056" w:rsidP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DB19AA">
              <w:rPr>
                <w:rFonts w:ascii="Arial" w:hAnsi="Arial" w:cs="Arial"/>
              </w:rPr>
              <w:t xml:space="preserve"> 2020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45D455E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A26EA6">
              <w:rPr>
                <w:rFonts w:ascii="Arial" w:eastAsia="Arial" w:hAnsi="Arial" w:cs="Arial"/>
                <w:b/>
              </w:rPr>
              <w:t>(exit data 2018-19)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B80272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0685645" w:rsidR="00C14FAE" w:rsidRPr="00B80272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achieving the level expected/above the level expected for their age</w:t>
            </w:r>
            <w:r w:rsidR="00EE50D0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96FA0A2" w:rsidR="00EE50D0" w:rsidRPr="00C56E5A" w:rsidRDefault="00751D40" w:rsidP="004E5349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783AFA9" w14:textId="1EF7C5FE" w:rsidR="00EE50D0" w:rsidRPr="00C56E5A" w:rsidRDefault="00430C15" w:rsidP="00430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EE50D0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954A6" w:rsidRPr="002954A6" w14:paraId="38F6E20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 the level expected/above the level expected for their age in literacy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6D2F417" w:rsidR="00EE50D0" w:rsidRPr="00C56E5A" w:rsidRDefault="00751D40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EA271DB" w14:textId="717A4183" w:rsidR="00EE50D0" w:rsidRPr="00C56E5A" w:rsidRDefault="00430C15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2954A6" w:rsidRPr="002954A6" w14:paraId="1E51F557" w14:textId="77777777" w:rsidTr="00A26EA6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achieving the level expected/above the level expected for their age in mathematics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46F5CCDE" w:rsidR="00EE50D0" w:rsidRPr="00C56E5A" w:rsidRDefault="00751D40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F252039" w14:textId="17478D9C" w:rsidR="00EE50D0" w:rsidRPr="00C56E5A" w:rsidRDefault="00430C15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2954A6" w:rsidRPr="002954A6" w14:paraId="1713911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FE8F21E" w:rsidR="00EE50D0" w:rsidRPr="00C56E5A" w:rsidRDefault="00751D40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335192D" w14:textId="411F1E8B" w:rsidR="00EE50D0" w:rsidRPr="00C56E5A" w:rsidRDefault="00430C15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AE7887" w:rsidRPr="002954A6" w14:paraId="4C2C572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5442CEF9" w:rsidR="00AE7887" w:rsidRPr="00C56E5A" w:rsidRDefault="00751D40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871195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23F299F" w14:textId="64A6517E" w:rsidR="00AE7887" w:rsidRPr="00C56E5A" w:rsidRDefault="00430C15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4D36A6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AE7887" w:rsidRPr="002954A6" w14:paraId="0F2FB830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4C117073" w:rsidR="00AE7887" w:rsidRPr="00C56E5A" w:rsidRDefault="00751D40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871195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4EA64F3" w14:textId="13D8B17A" w:rsidR="00AE7887" w:rsidRPr="00C56E5A" w:rsidRDefault="00430C15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4D36A6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6253DDA9" w:rsidR="00765EFB" w:rsidRPr="002954A6" w:rsidRDefault="00765EFB" w:rsidP="00264AC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264AC2">
              <w:rPr>
                <w:rFonts w:ascii="Arial" w:hAnsi="Arial" w:cs="Arial"/>
                <w:b/>
              </w:rPr>
              <w:t xml:space="preserve"> attainment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627C1046" w14:textId="7BE646A1" w:rsidR="00B8153C" w:rsidRPr="00AE78F2" w:rsidRDefault="00264AC2" w:rsidP="00AE7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barriers to learning identified on entry and interventions and support are put into place to enable children  to access learning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</w:tcPr>
          <w:p w14:paraId="3D4C565C" w14:textId="70B1A647" w:rsidR="00B8153C" w:rsidRPr="002954A6" w:rsidRDefault="00B8153C" w:rsidP="00264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</w:t>
            </w:r>
            <w:r w:rsidR="00264AC2">
              <w:rPr>
                <w:rFonts w:ascii="Arial" w:hAnsi="Arial" w:cs="Arial"/>
                <w:sz w:val="18"/>
                <w:szCs w:val="18"/>
              </w:rPr>
              <w:t xml:space="preserve">ng monitored through SEND </w:t>
            </w:r>
            <w:r w:rsidR="00AE0286">
              <w:rPr>
                <w:rFonts w:ascii="Arial" w:hAnsi="Arial" w:cs="Arial"/>
                <w:sz w:val="18"/>
                <w:szCs w:val="18"/>
              </w:rPr>
              <w:t>Plans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24DD742" w14:textId="320D0582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</w:tcPr>
          <w:p w14:paraId="7F47B406" w14:textId="1B4681EE" w:rsidR="00AE0286" w:rsidRPr="00AE0286" w:rsidRDefault="00AE0286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The majority are children who will only access 3 terms Nursery Education</w:t>
            </w:r>
          </w:p>
        </w:tc>
      </w:tr>
      <w:tr w:rsidR="00B8153C" w:rsidRPr="002954A6" w14:paraId="1ADB6446" w14:textId="77777777" w:rsidTr="00AE0286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E0286" w:rsidRPr="002954A6" w14:paraId="103831C6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A4DBE2" w14:textId="56DA285C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D94601F" w14:textId="5AC301CF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literacy skills for children eligible for EYPP on transition to Reception class</w:t>
            </w:r>
          </w:p>
        </w:tc>
      </w:tr>
      <w:tr w:rsidR="00AE0286" w:rsidRPr="002954A6" w14:paraId="4F115FC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2C06EAF" w14:textId="2CEEA988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6B62F9AD" w14:textId="06294A21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mathematical skills for children eligible for EYPP on transition to Reception class</w:t>
            </w:r>
          </w:p>
        </w:tc>
      </w:tr>
      <w:tr w:rsidR="00AE0286" w:rsidRPr="002954A6" w14:paraId="50F0475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E2A51A9" w14:textId="5AEA8BB7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688BA971" w14:textId="790D84FD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Develop children’s characteristics of effective learning (COEL)</w:t>
            </w:r>
          </w:p>
        </w:tc>
      </w:tr>
    </w:tbl>
    <w:p w14:paraId="43512385" w14:textId="375D6AAD" w:rsidR="00CF1B9B" w:rsidRDefault="00CF1B9B"/>
    <w:p w14:paraId="35291C0F" w14:textId="77777777" w:rsidR="0055216E" w:rsidRPr="002954A6" w:rsidRDefault="0055216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141"/>
        <w:gridCol w:w="2268"/>
      </w:tblGrid>
      <w:tr w:rsidR="002954A6" w:rsidRPr="002954A6" w14:paraId="32A9EE08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E56DF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14:paraId="51677F7E" w14:textId="1EDEB1D8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B1B39">
              <w:rPr>
                <w:rFonts w:ascii="Arial" w:hAnsi="Arial" w:cs="Arial"/>
                <w:b/>
              </w:rPr>
              <w:t>9-20</w:t>
            </w:r>
          </w:p>
        </w:tc>
      </w:tr>
      <w:tr w:rsidR="002954A6" w:rsidRPr="002954A6" w14:paraId="2F5C647F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6D66A2C3" w:rsidR="00766387" w:rsidRPr="002954A6" w:rsidRDefault="00F610B6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66387" w:rsidRPr="002954A6">
              <w:rPr>
                <w:rFonts w:ascii="Arial" w:hAnsi="Arial" w:cs="Arial"/>
                <w:b/>
              </w:rPr>
              <w:t>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1747" w:rsidRPr="002954A6" w14:paraId="56AA1FC5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1FF02F" w14:textId="411B8AFC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Deliver quality first teaching to all EYPP children, matched to the children’s level of development providing sufficient challenge to accelerate learning across the identified areas of learning.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74E343D" w14:textId="66CC69EC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</w:t>
            </w:r>
            <w:r w:rsidR="00B76633">
              <w:rPr>
                <w:rFonts w:ascii="Arial" w:hAnsi="Arial" w:cs="Arial"/>
                <w:sz w:val="18"/>
                <w:szCs w:val="18"/>
              </w:rPr>
              <w:t>group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sessions are differentiated according to children’s level of development.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8AD11E0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Invest EYPP to create longer term change which will help all pupils.</w:t>
            </w:r>
          </w:p>
          <w:p w14:paraId="5E36B0B2" w14:textId="5293BEBA" w:rsidR="003F1747" w:rsidRPr="003F1747" w:rsidRDefault="003F1747" w:rsidP="00854D8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have been shown to be effective, as discussed in reliable evidence sources such as </w:t>
            </w: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Visible Learning by John Hattie and the EEF Toolkit.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8C52F" w14:textId="377FA082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Identified 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staff deliver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interventions. </w:t>
            </w:r>
          </w:p>
          <w:p w14:paraId="308146DC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Children’s progress monitored regularly through progress meetings. </w:t>
            </w:r>
          </w:p>
          <w:p w14:paraId="732580C4" w14:textId="6A8834E5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Use staff meeting and INSET to embed a consistent approach</w:t>
            </w:r>
          </w:p>
        </w:tc>
        <w:tc>
          <w:tcPr>
            <w:tcW w:w="1276" w:type="dxa"/>
            <w:shd w:val="clear" w:color="auto" w:fill="auto"/>
          </w:tcPr>
          <w:p w14:paraId="00C9D2D2" w14:textId="6BA17153" w:rsidR="003F1747" w:rsidRPr="003F1747" w:rsidRDefault="00B745BE" w:rsidP="000D2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 Practitioner and 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</w:p>
        </w:tc>
        <w:tc>
          <w:tcPr>
            <w:tcW w:w="2409" w:type="dxa"/>
            <w:gridSpan w:val="2"/>
          </w:tcPr>
          <w:p w14:paraId="7D7C99D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9A98041" w14:textId="7FEC76DD" w:rsidR="003F1747" w:rsidRPr="003F1747" w:rsidRDefault="000D26C0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2020</w:t>
            </w:r>
          </w:p>
        </w:tc>
      </w:tr>
      <w:tr w:rsidR="003F1747" w:rsidRPr="002954A6" w14:paraId="42738F0B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343C2C" w14:textId="0CC8DAF9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 outcomes Characteristics of Effective Learning (COEL)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6F51EBB" w14:textId="108535F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Tracking of progress in COEL in order to accelerate progress.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64F0A9A" w14:textId="77777777" w:rsid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identifies two intervention strategies, which evidence shows make the greatest impact on Pupil Premium investment. There are: feedback and meta-cognition/self-regulation (or learning-to-learn strategies), both of which the research shows add an additional eight months of progress over a year. This approach is integral to our provision for all children. We want to further develop the skills of staff in promoting COEL in all children who attend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Rainhill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Nursery School.  </w:t>
            </w:r>
          </w:p>
          <w:p w14:paraId="24A8AEFF" w14:textId="302DA8F8" w:rsidR="00E2014E" w:rsidRPr="003F1747" w:rsidRDefault="00E2014E" w:rsidP="003F17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F8E5888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Outcomes reviewed alongside termly tracking of the 7 areas of learning.</w:t>
            </w:r>
          </w:p>
          <w:p w14:paraId="62E7014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SSTEWS evaluations and scrutiny of practice focused on the role of the educator in supporting, scaffolding and articulating learning.</w:t>
            </w:r>
          </w:p>
          <w:p w14:paraId="53287FD1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64E35EA" w14:textId="77777777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774493" w14:textId="61AF86CE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 Practitioner and 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7DD27C95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78E8AE7" w14:textId="740AB1B9" w:rsidR="003F1747" w:rsidRPr="003F1747" w:rsidRDefault="000D26C0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2020</w:t>
            </w:r>
          </w:p>
        </w:tc>
      </w:tr>
      <w:tr w:rsidR="003F1747" w:rsidRPr="002954A6" w14:paraId="66D20392" w14:textId="77777777" w:rsidTr="00E56DF3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3F1747" w:rsidRPr="002954A6" w:rsidRDefault="003F174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6FA61CC0" w14:textId="742384E6" w:rsidR="003F1747" w:rsidRPr="000D26C0" w:rsidRDefault="000D26C0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£1812</w:t>
            </w:r>
          </w:p>
          <w:p w14:paraId="5B947C52" w14:textId="77777777" w:rsidR="003F1747" w:rsidRDefault="003F1747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03D72" w14:textId="2F948459" w:rsidR="003F1747" w:rsidRPr="00757649" w:rsidRDefault="003F1747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1747" w:rsidRPr="002954A6" w14:paraId="768704E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3F1747" w:rsidRPr="002954A6" w:rsidRDefault="003F174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F1747" w:rsidRPr="002954A6" w14:paraId="58773DB5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329F3E7D" w:rsidR="003F1747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F1747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F1747" w:rsidRPr="002954A6" w:rsidRDefault="003F174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334E2892" w14:textId="77777777" w:rsidR="003F1747" w:rsidRPr="00262114" w:rsidRDefault="003F1747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2014E" w:rsidRPr="002954A6" w14:paraId="72541A0C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4BB240E5" w14:textId="05CD5F37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Improved outcomes in Communication &amp;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07064D1" w14:textId="4663DCF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Small group sessions to support children’s communication and language skills to build a firm foundation for future Literacy skills.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32FA8F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E2014E">
              <w:rPr>
                <w:rFonts w:cs="Arial"/>
                <w:b/>
                <w:i/>
                <w:sz w:val="18"/>
                <w:szCs w:val="18"/>
              </w:rPr>
              <w:t>Research undertaken by the Sutton Trust</w:t>
            </w:r>
            <w:r w:rsidRPr="00E2014E">
              <w:rPr>
                <w:rFonts w:cs="Arial"/>
                <w:sz w:val="18"/>
                <w:szCs w:val="18"/>
              </w:rPr>
              <w:t xml:space="preserve"> identified that Phonics and Small Group Tuition adds an additional four months development to children’s progress.</w:t>
            </w:r>
          </w:p>
          <w:p w14:paraId="42D84E50" w14:textId="04C3CB17" w:rsidR="00E2014E" w:rsidRPr="00E2014E" w:rsidRDefault="00E2014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The research that underpins both the ECAT and ELKLAN Strategies shows that </w:t>
            </w: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children’s language skills benefit most from having conversations with responsive adults. Our </w:t>
            </w:r>
            <w:r w:rsidR="00B745BE">
              <w:rPr>
                <w:rFonts w:ascii="Arial" w:hAnsi="Arial" w:cs="Arial"/>
                <w:sz w:val="18"/>
                <w:szCs w:val="18"/>
              </w:rPr>
              <w:t>curriculum</w:t>
            </w:r>
            <w:r w:rsidRPr="00E2014E">
              <w:rPr>
                <w:rFonts w:ascii="Arial" w:hAnsi="Arial" w:cs="Arial"/>
                <w:sz w:val="18"/>
                <w:szCs w:val="18"/>
              </w:rPr>
              <w:t xml:space="preserve"> aims to create a language rich environment underpinned by a strong focus on Literacy which supports children’s listening, attention and vocabulary though retelling narratives and singing songs and rhymes which supports early Literacy.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084732" w14:textId="0F25F9BC" w:rsidR="00B745BE" w:rsidRDefault="00E2014E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>Or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ganise sessions to ensure </w:t>
            </w:r>
            <w:proofErr w:type="gramStart"/>
            <w:r w:rsidR="00B745BE">
              <w:rPr>
                <w:rFonts w:ascii="Arial" w:hAnsi="Arial" w:cs="Arial"/>
                <w:sz w:val="18"/>
                <w:szCs w:val="18"/>
              </w:rPr>
              <w:t>staff d</w:t>
            </w:r>
            <w:r w:rsidR="000D599B">
              <w:rPr>
                <w:rFonts w:ascii="Arial" w:hAnsi="Arial" w:cs="Arial"/>
                <w:sz w:val="18"/>
                <w:szCs w:val="18"/>
              </w:rPr>
              <w:t>eliver</w:t>
            </w:r>
            <w:proofErr w:type="gramEnd"/>
            <w:r w:rsidR="000D5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frequent </w:t>
            </w:r>
            <w:r w:rsidR="000D599B">
              <w:rPr>
                <w:rFonts w:ascii="Arial" w:hAnsi="Arial" w:cs="Arial"/>
                <w:sz w:val="18"/>
                <w:szCs w:val="18"/>
              </w:rPr>
              <w:t>intervention</w:t>
            </w:r>
            <w:r w:rsidR="00B745BE">
              <w:rPr>
                <w:rFonts w:ascii="Arial" w:hAnsi="Arial" w:cs="Arial"/>
                <w:sz w:val="18"/>
                <w:szCs w:val="18"/>
              </w:rPr>
              <w:t>s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 for identified children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669D56" w14:textId="53B1EF80" w:rsidR="00B745BE" w:rsidRDefault="00B745BE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Frequent monitoring and scrutiny of practice is planned and effectiveness and impact will be measured through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data analysis.</w:t>
            </w:r>
          </w:p>
          <w:p w14:paraId="7F41293A" w14:textId="5F678C0C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791EE" w14:textId="25D36B79" w:rsidR="00E2014E" w:rsidRPr="00E2014E" w:rsidRDefault="00B745B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Lead  Practitioner and 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14E">
              <w:rPr>
                <w:rFonts w:ascii="Arial" w:hAnsi="Arial" w:cs="Arial"/>
                <w:sz w:val="18"/>
                <w:szCs w:val="18"/>
              </w:rPr>
              <w:t>Class</w:t>
            </w:r>
            <w:r w:rsidR="00E2014E"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580502B3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60614AD" w14:textId="09DD21DC" w:rsidR="00E2014E" w:rsidRPr="00E2014E" w:rsidRDefault="00B745B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2020</w:t>
            </w:r>
          </w:p>
        </w:tc>
      </w:tr>
      <w:tr w:rsidR="00E2014E" w:rsidRPr="002954A6" w14:paraId="41234E55" w14:textId="77777777" w:rsidTr="00E56DF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63A0082D" w:rsidR="00E2014E" w:rsidRPr="002954A6" w:rsidRDefault="00E2014E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2409" w:type="dxa"/>
            <w:gridSpan w:val="2"/>
          </w:tcPr>
          <w:p w14:paraId="38C38DCA" w14:textId="04A300C6" w:rsidR="00E2014E" w:rsidRPr="002954A6" w:rsidRDefault="004C504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 additional</w:t>
            </w:r>
          </w:p>
        </w:tc>
      </w:tr>
      <w:tr w:rsidR="00E2014E" w:rsidRPr="002954A6" w14:paraId="25EF4D10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280E574" w14:textId="162F59DD" w:rsidR="00E2014E" w:rsidRPr="002954A6" w:rsidRDefault="005F4833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E2014E" w:rsidRPr="002954A6" w14:paraId="74420E07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05A66D25" w:rsidR="00E2014E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E2014E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2014E" w:rsidRPr="002954A6" w:rsidRDefault="00E2014E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2D82213E" w14:textId="77777777" w:rsidR="00E2014E" w:rsidRPr="00262114" w:rsidRDefault="00E2014E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C504B" w:rsidRPr="002954A6" w14:paraId="49CE6E5B" w14:textId="77777777" w:rsidTr="00E56DF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98B12" w14:textId="260940EC" w:rsidR="004C504B" w:rsidRPr="004C504B" w:rsidRDefault="004C504B" w:rsidP="004C504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Children have access to Extended Nursery provision (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Additional session, </w:t>
            </w:r>
            <w:r w:rsidRPr="004C504B">
              <w:rPr>
                <w:rFonts w:ascii="Arial" w:hAnsi="Arial" w:cs="Arial"/>
                <w:sz w:val="18"/>
                <w:szCs w:val="18"/>
              </w:rPr>
              <w:t>Breakfast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After-School </w:t>
            </w:r>
            <w:r w:rsidRPr="004C504B">
              <w:rPr>
                <w:rFonts w:ascii="Arial" w:hAnsi="Arial" w:cs="Arial"/>
                <w:sz w:val="18"/>
                <w:szCs w:val="18"/>
              </w:rPr>
              <w:t>Club) and curriculum enhancements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1C90622" w14:textId="1B6A0BF7" w:rsidR="004C504B" w:rsidRPr="004C504B" w:rsidRDefault="004C504B" w:rsidP="004C504B">
            <w:pPr>
              <w:pStyle w:val="NoSpacing"/>
              <w:rPr>
                <w:rFonts w:cs="Arial"/>
                <w:sz w:val="18"/>
                <w:szCs w:val="18"/>
              </w:rPr>
            </w:pPr>
            <w:r w:rsidRPr="004C504B">
              <w:rPr>
                <w:rFonts w:cs="Arial"/>
                <w:sz w:val="18"/>
                <w:szCs w:val="18"/>
              </w:rPr>
              <w:t>Invite par</w:t>
            </w:r>
            <w:r>
              <w:rPr>
                <w:rFonts w:cs="Arial"/>
                <w:sz w:val="18"/>
                <w:szCs w:val="18"/>
              </w:rPr>
              <w:t xml:space="preserve">ents of EYPP Pupils to take up </w:t>
            </w:r>
            <w:r w:rsidRPr="004C504B">
              <w:rPr>
                <w:rFonts w:cs="Arial"/>
                <w:sz w:val="18"/>
                <w:szCs w:val="18"/>
              </w:rPr>
              <w:t>extended service session</w:t>
            </w:r>
            <w:r>
              <w:rPr>
                <w:rFonts w:cs="Arial"/>
                <w:sz w:val="18"/>
                <w:szCs w:val="18"/>
              </w:rPr>
              <w:t xml:space="preserve">s. </w:t>
            </w:r>
            <w:r w:rsidRPr="004C504B">
              <w:rPr>
                <w:rFonts w:cs="Arial"/>
                <w:sz w:val="18"/>
                <w:szCs w:val="18"/>
              </w:rPr>
              <w:t>Parents of EYPP Pupils will not be asked to make a donation to support the cost of school outings and experiences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FD22F7" w14:textId="2EF18581" w:rsidR="004C504B" w:rsidRPr="004C504B" w:rsidRDefault="004C504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 identified that participation in enhancement activities such as arts, sports and extended schools accelerated progress by an additional two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3324B0" w14:textId="029B5F56" w:rsidR="004C504B" w:rsidRPr="004C504B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EYPP parents will be targeted and notified of the offer of taking up an extended service.</w:t>
            </w:r>
          </w:p>
        </w:tc>
        <w:tc>
          <w:tcPr>
            <w:tcW w:w="1276" w:type="dxa"/>
          </w:tcPr>
          <w:p w14:paraId="06134E4E" w14:textId="11F649DA" w:rsidR="004C504B" w:rsidRPr="004C504B" w:rsidRDefault="004C504B" w:rsidP="008A3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Head of School/ </w:t>
            </w:r>
            <w:r w:rsidRPr="004C504B">
              <w:rPr>
                <w:rFonts w:ascii="Arial" w:hAnsi="Arial" w:cs="Arial"/>
                <w:sz w:val="18"/>
                <w:szCs w:val="18"/>
              </w:rPr>
              <w:t>Office staff</w:t>
            </w:r>
          </w:p>
        </w:tc>
        <w:tc>
          <w:tcPr>
            <w:tcW w:w="2409" w:type="dxa"/>
            <w:gridSpan w:val="2"/>
          </w:tcPr>
          <w:p w14:paraId="2DAFBC10" w14:textId="5EB348FC" w:rsidR="004C504B" w:rsidRPr="004C504B" w:rsidRDefault="005F4833" w:rsidP="00540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2020</w:t>
            </w:r>
          </w:p>
        </w:tc>
      </w:tr>
      <w:tr w:rsidR="004C504B" w:rsidRPr="002954A6" w14:paraId="6A122951" w14:textId="77777777" w:rsidTr="00E56DF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4C504B" w:rsidRPr="002954A6" w:rsidRDefault="004C504B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28F214BC" w14:textId="1F03C563" w:rsidR="004C504B" w:rsidRPr="002954A6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£</w:t>
            </w:r>
            <w:r w:rsidR="005F4833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4C504B" w:rsidRPr="002954A6" w14:paraId="4D2BBAB9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4C504B" w:rsidRPr="002954A6" w:rsidRDefault="004C504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4C504B" w:rsidRPr="002954A6" w14:paraId="5169F603" w14:textId="77777777" w:rsidTr="00E56DF3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4C504B" w:rsidRPr="002954A6" w:rsidRDefault="004C504B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6"/>
            <w:shd w:val="clear" w:color="auto" w:fill="auto"/>
          </w:tcPr>
          <w:p w14:paraId="232B5BB5" w14:textId="292F49DD" w:rsidR="004C504B" w:rsidRPr="002954A6" w:rsidRDefault="00FB1B39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2018-19</w:t>
            </w:r>
          </w:p>
        </w:tc>
      </w:tr>
      <w:tr w:rsidR="004C504B" w:rsidRPr="002954A6" w14:paraId="179EEF56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4C504B" w:rsidRPr="002954A6" w14:paraId="44EB0118" w14:textId="77777777" w:rsidTr="005F4833">
        <w:trPr>
          <w:trHeight w:hRule="exact" w:val="8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ECF9E35" w:rsidR="004C504B" w:rsidRPr="00A42DED" w:rsidRDefault="004C504B" w:rsidP="00821EC5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DF54BC4" w:rsidR="004C504B" w:rsidRPr="00A42DED" w:rsidRDefault="004C504B" w:rsidP="00D91760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7504CAE" w14:textId="2668895A" w:rsidR="004C504B" w:rsidRPr="00A42DED" w:rsidRDefault="004C504B" w:rsidP="00D91760">
            <w:pPr>
              <w:pStyle w:val="Default"/>
              <w:rPr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1E9A84EE" w14:textId="136A11CC" w:rsidR="004C504B" w:rsidRPr="00A42DED" w:rsidRDefault="004C504B" w:rsidP="00EF72F2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28EA7082" w14:textId="67397940" w:rsidR="004C504B" w:rsidRPr="00A42DED" w:rsidRDefault="004C504B" w:rsidP="009E1D9A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76E36120" w14:textId="77777777" w:rsidTr="0055216E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85CE65" w14:textId="1A48A65C" w:rsidR="004C504B" w:rsidRPr="003F1747" w:rsidRDefault="004C504B" w:rsidP="0055216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Deliver quality first teaching to all EYPP children, matched to the children’s level of development providing sufficient challenge to accelerate learning across the</w:t>
            </w:r>
            <w:r w:rsidR="0055216E">
              <w:rPr>
                <w:rFonts w:ascii="Arial" w:hAnsi="Arial" w:cs="Arial"/>
                <w:sz w:val="18"/>
                <w:szCs w:val="18"/>
              </w:rPr>
              <w:t xml:space="preserve"> identified areas of learning.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4BC8DD" w14:textId="29401264" w:rsidR="004C504B" w:rsidRPr="003F1747" w:rsidRDefault="004C504B" w:rsidP="00D91760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Children make expected or better progress. Areas for development are swiftly identified and progress is accelerated where necessary. An appropriate level of challenge is provided for more able pupils.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7B65ADC2" w14:textId="1A0E5215" w:rsidR="004C504B" w:rsidRPr="003F1747" w:rsidRDefault="004C504B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3F1747">
              <w:rPr>
                <w:iCs/>
                <w:color w:val="auto"/>
                <w:sz w:val="18"/>
                <w:szCs w:val="18"/>
              </w:rPr>
              <w:t>Termly progress checks.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6C7E5C3" w14:textId="388B3AEB" w:rsidR="004C504B" w:rsidRPr="003F1747" w:rsidRDefault="004C504B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Contribution to cost of employing an additional member of staff to reduce ratios</w:t>
            </w:r>
          </w:p>
        </w:tc>
        <w:tc>
          <w:tcPr>
            <w:tcW w:w="2268" w:type="dxa"/>
          </w:tcPr>
          <w:p w14:paraId="3DC62E1A" w14:textId="6C63E65D" w:rsidR="004C504B" w:rsidRPr="003F1747" w:rsidRDefault="000D1CB5" w:rsidP="000D1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504B" w:rsidRPr="00AA46D1">
              <w:rPr>
                <w:rFonts w:ascii="Arial" w:hAnsi="Arial" w:cs="Arial"/>
                <w:sz w:val="18"/>
                <w:szCs w:val="18"/>
              </w:rPr>
              <w:t xml:space="preserve">large majority of children eligible for the EYPP make typical or better progress in 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>the Prime Areas (</w:t>
            </w:r>
            <w:r w:rsidR="00FB1B39">
              <w:rPr>
                <w:rFonts w:ascii="Arial" w:hAnsi="Arial" w:cs="Arial"/>
                <w:sz w:val="18"/>
                <w:szCs w:val="18"/>
              </w:rPr>
              <w:t>67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%) and in </w:t>
            </w:r>
            <w:r w:rsidR="00FB1B39">
              <w:rPr>
                <w:rFonts w:ascii="Arial" w:hAnsi="Arial" w:cs="Arial"/>
                <w:sz w:val="18"/>
                <w:szCs w:val="18"/>
              </w:rPr>
              <w:t>Literacy (67</w:t>
            </w:r>
            <w:r w:rsidR="00C56E5A">
              <w:rPr>
                <w:rFonts w:ascii="Arial" w:hAnsi="Arial" w:cs="Arial"/>
                <w:sz w:val="18"/>
                <w:szCs w:val="18"/>
              </w:rPr>
              <w:t xml:space="preserve">%), </w:t>
            </w:r>
            <w:r w:rsidR="00FB1B39">
              <w:rPr>
                <w:rFonts w:ascii="Arial" w:hAnsi="Arial" w:cs="Arial"/>
                <w:sz w:val="18"/>
                <w:szCs w:val="18"/>
              </w:rPr>
              <w:t>Maths (67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>%).</w:t>
            </w:r>
            <w:r w:rsidR="00FB1B39">
              <w:rPr>
                <w:rFonts w:ascii="Arial" w:hAnsi="Arial" w:cs="Arial"/>
                <w:sz w:val="18"/>
                <w:szCs w:val="18"/>
              </w:rPr>
              <w:t>67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% of pupils eligible for </w:t>
            </w:r>
            <w:r w:rsidR="004C504B" w:rsidRPr="00AA46D1">
              <w:rPr>
                <w:rFonts w:ascii="Arial" w:hAnsi="Arial" w:cs="Arial"/>
                <w:sz w:val="18"/>
                <w:szCs w:val="18"/>
              </w:rPr>
              <w:t>the EYPP made typical or better progress.</w:t>
            </w:r>
          </w:p>
        </w:tc>
      </w:tr>
      <w:tr w:rsidR="004C504B" w:rsidRPr="002954A6" w14:paraId="3D342804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4C504B" w:rsidRPr="002954A6" w14:paraId="40DB90C8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4EFE7AD9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13BBA9C8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216D140E" w:rsidR="004C504B" w:rsidRPr="002954A6" w:rsidRDefault="004C504B" w:rsidP="00D91760">
            <w:pPr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3F0909E0" w14:textId="70A731FA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58CCB8D4" w14:textId="59353C4E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290AE235" w14:textId="77777777" w:rsidTr="00E56DF3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B14D2F2" w:rsidR="004C504B" w:rsidRPr="003F1747" w:rsidRDefault="004C504B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Improved outcomes in Communication and Language and in Literacy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34AC194" w:rsidR="004C504B" w:rsidRPr="003F1747" w:rsidRDefault="004C504B" w:rsidP="006B4D7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Children, identified as being at risk of delay, or with barriers to learning in this area are supported to make accelerated progress.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D3C3CDD" w14:textId="38A4340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Baseline / Progress Meetings</w:t>
            </w:r>
          </w:p>
          <w:p w14:paraId="2E8CD19E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AF7B67C" w14:textId="316B07A1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Monitoring cycle- targeting EYPP pupils through Learning Walks / Child Tracking / Learning Journal Scrutiny</w:t>
            </w:r>
          </w:p>
          <w:p w14:paraId="6B5258E3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4354FD79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Termly report to Governors on impact of EYPP work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6FA64912" w14:textId="182349EC" w:rsidR="004C504B" w:rsidRPr="003F1747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Maintenance of lower than required ratios in order to facilitate intervention, acceleration and achievement of targets</w:t>
            </w:r>
          </w:p>
        </w:tc>
        <w:tc>
          <w:tcPr>
            <w:tcW w:w="2268" w:type="dxa"/>
          </w:tcPr>
          <w:p w14:paraId="594E39C3" w14:textId="14F111A4" w:rsidR="004C504B" w:rsidRPr="003F1747" w:rsidRDefault="00FB1B39" w:rsidP="00C5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C56E5A" w:rsidRPr="00C56E5A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EYPP </w:t>
            </w:r>
            <w:r w:rsidR="004C504B" w:rsidRPr="003F1747">
              <w:rPr>
                <w:rFonts w:ascii="Arial" w:hAnsi="Arial" w:cs="Arial"/>
                <w:sz w:val="18"/>
                <w:szCs w:val="18"/>
              </w:rPr>
              <w:t>pupils attained the age related expectation on exit and made typical or better progress in this area</w:t>
            </w:r>
          </w:p>
        </w:tc>
      </w:tr>
      <w:tr w:rsidR="004C504B" w:rsidRPr="002954A6" w14:paraId="5B53F9C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4C504B" w:rsidRPr="002954A6" w:rsidRDefault="004C504B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C504B" w:rsidRPr="002954A6" w14:paraId="13EA6F62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4F366645" w:rsidR="004C504B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C504B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4C504B" w:rsidRPr="002954A6" w:rsidRDefault="004C504B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4C504B" w:rsidRPr="002954A6" w:rsidRDefault="004C504B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2268" w:type="dxa"/>
          </w:tcPr>
          <w:p w14:paraId="49DBE4EF" w14:textId="77777777" w:rsidR="004C504B" w:rsidRPr="002954A6" w:rsidRDefault="004C504B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4C504B" w:rsidRPr="00821402" w14:paraId="330462A8" w14:textId="77777777" w:rsidTr="00E56DF3">
        <w:tc>
          <w:tcPr>
            <w:tcW w:w="2235" w:type="dxa"/>
          </w:tcPr>
          <w:p w14:paraId="7022E99E" w14:textId="77777777" w:rsidR="004C504B" w:rsidRDefault="004C504B" w:rsidP="00782789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Children have access to Extended Nursery provision (Additional Session, Breakfast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,  Lunch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or After-School Club).</w:t>
            </w:r>
          </w:p>
          <w:p w14:paraId="6D085AC0" w14:textId="2A2A19B9" w:rsidR="0055216E" w:rsidRPr="003F1747" w:rsidRDefault="0055216E" w:rsidP="0078278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6DAF" w14:textId="7068FE46" w:rsidR="004C504B" w:rsidRPr="003F1747" w:rsidRDefault="004C504B" w:rsidP="00AA4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>Children are supported to access more than the universal 15 hour entitlement</w:t>
            </w:r>
          </w:p>
        </w:tc>
        <w:tc>
          <w:tcPr>
            <w:tcW w:w="4253" w:type="dxa"/>
            <w:gridSpan w:val="2"/>
          </w:tcPr>
          <w:p w14:paraId="1712CF2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Review of take up of extended services offer.</w:t>
            </w:r>
          </w:p>
          <w:p w14:paraId="47A2F43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14:paraId="5180FB3D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Cost of additional sessions</w:t>
            </w:r>
          </w:p>
        </w:tc>
        <w:tc>
          <w:tcPr>
            <w:tcW w:w="2268" w:type="dxa"/>
          </w:tcPr>
          <w:p w14:paraId="5C3331A5" w14:textId="32D15631" w:rsidR="004C504B" w:rsidRPr="003F1747" w:rsidRDefault="00C56E5A" w:rsidP="0040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2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405F3D">
              <w:rPr>
                <w:rFonts w:ascii="Arial" w:hAnsi="Arial" w:cs="Arial"/>
                <w:sz w:val="18"/>
                <w:szCs w:val="18"/>
              </w:rPr>
              <w:t>3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04B" w:rsidRPr="003F1747">
              <w:rPr>
                <w:rFonts w:ascii="Arial" w:hAnsi="Arial" w:cs="Arial"/>
                <w:color w:val="000000"/>
                <w:sz w:val="18"/>
                <w:szCs w:val="18"/>
              </w:rPr>
              <w:t>eligible pupils took up the offer of an additional extended service session.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F5DE" w14:textId="77777777" w:rsidR="00AC34CD" w:rsidRDefault="00AC34CD" w:rsidP="00CD68B1">
      <w:r>
        <w:separator/>
      </w:r>
    </w:p>
  </w:endnote>
  <w:endnote w:type="continuationSeparator" w:id="0">
    <w:p w14:paraId="1A51146D" w14:textId="77777777" w:rsidR="00AC34CD" w:rsidRDefault="00AC34C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FB02" w14:textId="77777777" w:rsidR="00AC34CD" w:rsidRDefault="00AC34CD" w:rsidP="00CD68B1">
      <w:r>
        <w:separator/>
      </w:r>
    </w:p>
  </w:footnote>
  <w:footnote w:type="continuationSeparator" w:id="0">
    <w:p w14:paraId="7FA727DB" w14:textId="77777777" w:rsidR="00AC34CD" w:rsidRDefault="00AC34C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C7CA7"/>
    <w:multiLevelType w:val="hybridMultilevel"/>
    <w:tmpl w:val="FE86072C"/>
    <w:lvl w:ilvl="0" w:tplc="B1048C2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66BE"/>
    <w:multiLevelType w:val="hybridMultilevel"/>
    <w:tmpl w:val="E2206E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214E87"/>
    <w:multiLevelType w:val="hybridMultilevel"/>
    <w:tmpl w:val="C67E5E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8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25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A25FC"/>
    <w:rsid w:val="000B25ED"/>
    <w:rsid w:val="000B5413"/>
    <w:rsid w:val="000C327D"/>
    <w:rsid w:val="000C37C2"/>
    <w:rsid w:val="000C4CF8"/>
    <w:rsid w:val="000D0B47"/>
    <w:rsid w:val="000D1CB5"/>
    <w:rsid w:val="000D26C0"/>
    <w:rsid w:val="000D480D"/>
    <w:rsid w:val="000D599B"/>
    <w:rsid w:val="000D7ED1"/>
    <w:rsid w:val="000E4243"/>
    <w:rsid w:val="001137CF"/>
    <w:rsid w:val="00117186"/>
    <w:rsid w:val="00121D72"/>
    <w:rsid w:val="001229DD"/>
    <w:rsid w:val="00125340"/>
    <w:rsid w:val="00125BA7"/>
    <w:rsid w:val="00131CA9"/>
    <w:rsid w:val="00172F4F"/>
    <w:rsid w:val="001849D6"/>
    <w:rsid w:val="0019055E"/>
    <w:rsid w:val="001A3F5E"/>
    <w:rsid w:val="001A6E2D"/>
    <w:rsid w:val="001B794A"/>
    <w:rsid w:val="001C26CA"/>
    <w:rsid w:val="001C2EE1"/>
    <w:rsid w:val="001C686D"/>
    <w:rsid w:val="001D6F07"/>
    <w:rsid w:val="001E7B91"/>
    <w:rsid w:val="00232CF5"/>
    <w:rsid w:val="00240F98"/>
    <w:rsid w:val="00254A66"/>
    <w:rsid w:val="00257811"/>
    <w:rsid w:val="00262114"/>
    <w:rsid w:val="002622B6"/>
    <w:rsid w:val="00264AC2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6FB5"/>
    <w:rsid w:val="003051BF"/>
    <w:rsid w:val="00317B61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1747"/>
    <w:rsid w:val="003F7BE2"/>
    <w:rsid w:val="00402EED"/>
    <w:rsid w:val="00405F3D"/>
    <w:rsid w:val="004107D2"/>
    <w:rsid w:val="00423264"/>
    <w:rsid w:val="00430C15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04B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40101"/>
    <w:rsid w:val="00540319"/>
    <w:rsid w:val="0054043F"/>
    <w:rsid w:val="00541F7B"/>
    <w:rsid w:val="0055216E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17F2"/>
    <w:rsid w:val="005E2CF9"/>
    <w:rsid w:val="005E54F3"/>
    <w:rsid w:val="005F4833"/>
    <w:rsid w:val="005F4EB0"/>
    <w:rsid w:val="00601130"/>
    <w:rsid w:val="00611495"/>
    <w:rsid w:val="00620176"/>
    <w:rsid w:val="00626887"/>
    <w:rsid w:val="00630044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118E0"/>
    <w:rsid w:val="007335B7"/>
    <w:rsid w:val="00743BF3"/>
    <w:rsid w:val="00746605"/>
    <w:rsid w:val="007509AC"/>
    <w:rsid w:val="00751D40"/>
    <w:rsid w:val="00753B16"/>
    <w:rsid w:val="00757649"/>
    <w:rsid w:val="00765EFB"/>
    <w:rsid w:val="00766387"/>
    <w:rsid w:val="00767E1D"/>
    <w:rsid w:val="007821D8"/>
    <w:rsid w:val="00782789"/>
    <w:rsid w:val="00797116"/>
    <w:rsid w:val="007A2742"/>
    <w:rsid w:val="007A4A38"/>
    <w:rsid w:val="007B141B"/>
    <w:rsid w:val="007B228E"/>
    <w:rsid w:val="007B2D5E"/>
    <w:rsid w:val="007C19BB"/>
    <w:rsid w:val="007C2B91"/>
    <w:rsid w:val="007C431B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4D8E"/>
    <w:rsid w:val="00863790"/>
    <w:rsid w:val="00863A7C"/>
    <w:rsid w:val="00864593"/>
    <w:rsid w:val="00871195"/>
    <w:rsid w:val="0088412D"/>
    <w:rsid w:val="008A3C4F"/>
    <w:rsid w:val="008B7FE5"/>
    <w:rsid w:val="008C10E9"/>
    <w:rsid w:val="008D58CE"/>
    <w:rsid w:val="008E1AE6"/>
    <w:rsid w:val="008E2EC0"/>
    <w:rsid w:val="008E364E"/>
    <w:rsid w:val="008E64E9"/>
    <w:rsid w:val="008F0F73"/>
    <w:rsid w:val="008F69EC"/>
    <w:rsid w:val="009021E8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A00036"/>
    <w:rsid w:val="00A13FBB"/>
    <w:rsid w:val="00A1613C"/>
    <w:rsid w:val="00A24C51"/>
    <w:rsid w:val="00A26EA6"/>
    <w:rsid w:val="00A27744"/>
    <w:rsid w:val="00A3254E"/>
    <w:rsid w:val="00A32773"/>
    <w:rsid w:val="00A33F73"/>
    <w:rsid w:val="00A37195"/>
    <w:rsid w:val="00A37D2D"/>
    <w:rsid w:val="00A42DE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A46D1"/>
    <w:rsid w:val="00AB4056"/>
    <w:rsid w:val="00AB5B2A"/>
    <w:rsid w:val="00AC34CD"/>
    <w:rsid w:val="00AE0286"/>
    <w:rsid w:val="00AE66C2"/>
    <w:rsid w:val="00AE77EC"/>
    <w:rsid w:val="00AE7887"/>
    <w:rsid w:val="00AE78F2"/>
    <w:rsid w:val="00B01C9A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45BE"/>
    <w:rsid w:val="00B76633"/>
    <w:rsid w:val="00B80272"/>
    <w:rsid w:val="00B8153C"/>
    <w:rsid w:val="00B9382E"/>
    <w:rsid w:val="00BA3C3E"/>
    <w:rsid w:val="00BC017A"/>
    <w:rsid w:val="00BC7733"/>
    <w:rsid w:val="00BE3670"/>
    <w:rsid w:val="00BE5BCA"/>
    <w:rsid w:val="00BF007B"/>
    <w:rsid w:val="00C00F3C"/>
    <w:rsid w:val="00C018F4"/>
    <w:rsid w:val="00C04C4C"/>
    <w:rsid w:val="00C068B2"/>
    <w:rsid w:val="00C102E1"/>
    <w:rsid w:val="00C14FAE"/>
    <w:rsid w:val="00C32D5C"/>
    <w:rsid w:val="00C34113"/>
    <w:rsid w:val="00C35120"/>
    <w:rsid w:val="00C3608A"/>
    <w:rsid w:val="00C56E5A"/>
    <w:rsid w:val="00C70B05"/>
    <w:rsid w:val="00C73995"/>
    <w:rsid w:val="00C74FA7"/>
    <w:rsid w:val="00C77153"/>
    <w:rsid w:val="00C77968"/>
    <w:rsid w:val="00C8030B"/>
    <w:rsid w:val="00C8211F"/>
    <w:rsid w:val="00C90276"/>
    <w:rsid w:val="00C91B94"/>
    <w:rsid w:val="00CA1AF5"/>
    <w:rsid w:val="00CA1CD7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5464"/>
    <w:rsid w:val="00D370F4"/>
    <w:rsid w:val="00D46E95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A565B"/>
    <w:rsid w:val="00DB19AA"/>
    <w:rsid w:val="00DB4FD9"/>
    <w:rsid w:val="00DC3F30"/>
    <w:rsid w:val="00DD64FC"/>
    <w:rsid w:val="00DE33BF"/>
    <w:rsid w:val="00DF76AB"/>
    <w:rsid w:val="00E04EE8"/>
    <w:rsid w:val="00E106F9"/>
    <w:rsid w:val="00E2014E"/>
    <w:rsid w:val="00E20F63"/>
    <w:rsid w:val="00E34A8F"/>
    <w:rsid w:val="00E354EA"/>
    <w:rsid w:val="00E35628"/>
    <w:rsid w:val="00E45612"/>
    <w:rsid w:val="00E4607C"/>
    <w:rsid w:val="00E5066A"/>
    <w:rsid w:val="00E53161"/>
    <w:rsid w:val="00E54FA7"/>
    <w:rsid w:val="00E56DF3"/>
    <w:rsid w:val="00E71B40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10B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1B39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www.w3.org/XML/1998/namespace"/>
    <ds:schemaRef ds:uri="http://purl.org/dc/terms/"/>
    <ds:schemaRef ds:uri="b8cb3cbd-ce5c-4a72-9da4-9013f91c590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fae6ca9-b18b-49a6-bdfe-0a20c49a9ba9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E3FF4CA-EBD7-4531-8ACC-FFA7F40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Emma Nicholson</cp:lastModifiedBy>
  <cp:revision>14</cp:revision>
  <cp:lastPrinted>2016-08-10T08:54:00Z</cp:lastPrinted>
  <dcterms:created xsi:type="dcterms:W3CDTF">2019-10-25T11:14:00Z</dcterms:created>
  <dcterms:modified xsi:type="dcterms:W3CDTF">2019-10-25T13:20:00Z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